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Технічне завдання: дизельна генераторна установка</w:t>
      </w:r>
    </w:p>
    <w:p>
      <w:r>
        <w:rPr>
          <w:b/>
          <w:color w:val="20214F"/>
        </w:rPr>
        <w:t>Редагований зразок для проєкту: Лікарня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1E8"/>
          </w:tcPr>
          <w:p>
            <w:r/>
            <w:r>
              <w:rPr>
                <w:i/>
              </w:rPr>
              <w:t>Це нейтральний зразок, що спирається на стандарти. Значення в [квадратних дужках] є пропозиціями, і замовник або проєктувальник має заповнити чи підтвердити їх для конкретного проєкту.</w:t>
            </w:r>
          </w:p>
          <w:p>
            <w:r>
              <w:rPr>
                <w:i/>
              </w:rPr>
              <w:t>Жодного виробника, марки чи назви продукту не вказано. Прийнятною є будь-яка генераторна установка, що відповідає наведеним нижче вимогам і підтверджує це документами, переліченими в розділі 10.</w:t>
            </w:r>
          </w:p>
          <w:p>
            <w:r>
              <w:rPr>
                <w:i/>
              </w:rPr>
              <w:t>Перед видачею документа видаліть цей блок із поясненнями.</w:t>
            </w:r>
          </w:p>
        </w:tc>
      </w:tr>
    </w:tbl>
    <w:p/>
    <w:p>
      <w:pPr>
        <w:pStyle w:val="Heading2"/>
      </w:pPr>
      <w:r>
        <w:t>1. Обсяг постачання</w:t>
      </w:r>
    </w:p>
    <w:p>
      <w:pPr>
        <w:pStyle w:val="ListBullet"/>
      </w:pPr>
      <w:r>
        <w:t>Постачання [кількість] дизельних генераторних установок з автоматичним запуском у разі зникнення мережі (AMF) та автоматичним введенням резерву (АВР) для лікарні за адресою [адреса об’єкта].</w:t>
      </w:r>
    </w:p>
    <w:p>
      <w:pPr>
        <w:pStyle w:val="ListBullet"/>
      </w:pPr>
      <w:r>
        <w:t>Обсяг постачання включає генераторну установку, корпус, паливний бак, панель керування, АВР, документацію та заводське випробування, описане в розділі 11. Монтаж, кабельні та будівельні роботи на об’єкті: [включено / не включено].</w:t>
      </w:r>
    </w:p>
    <w:p>
      <w:pPr>
        <w:pStyle w:val="Heading2"/>
      </w:pPr>
      <w:r>
        <w:t>2. Стандарти</w:t>
      </w:r>
    </w:p>
    <w:p>
      <w:pPr>
        <w:pStyle w:val="ListBullet"/>
      </w:pPr>
      <w:r>
        <w:t>Серія ISO 8528 (генераторні установки змінного струму з приводом від поршневих двигунів внутрішнього згоряння), зокрема частини 1, 3, 4, 5, 6 і 10; ISO 8528-12, якщо установка живить системи безпеки.</w:t>
      </w:r>
    </w:p>
    <w:p>
      <w:pPr>
        <w:pStyle w:val="ListBullet"/>
      </w:pPr>
      <w:r>
        <w:t>ISO 3046-1 (поршневі двигуни: декларування потужності).</w:t>
      </w:r>
    </w:p>
    <w:p>
      <w:pPr>
        <w:pStyle w:val="ListBullet"/>
      </w:pPr>
      <w:r>
        <w:t>IEC 60034-1 (обертові електричні машини) для генератора.</w:t>
      </w:r>
    </w:p>
    <w:p>
      <w:pPr>
        <w:pStyle w:val="ListBullet"/>
      </w:pPr>
      <w:r>
        <w:t>IEC 61439-1/-2 для низьковольтних комплектних пристроїв розподілу та керування і IEC 60947-6-1 для комутаційного пристрою АВР.</w:t>
      </w:r>
    </w:p>
    <w:p>
      <w:pPr>
        <w:pStyle w:val="ListBullet"/>
      </w:pPr>
      <w:r>
        <w:t>Шум вимірюється за ISO 3744 або ISO 8528-10.</w:t>
      </w:r>
    </w:p>
    <w:p>
      <w:pPr>
        <w:pStyle w:val="ListBullet"/>
      </w:pPr>
      <w:r>
        <w:t>Місцеві електротехнічні, протипожежні, екологічні норми та норми щодо викидів, чинні на об’єкті: [перелік].</w:t>
      </w:r>
    </w:p>
    <w:p>
      <w:pPr>
        <w:pStyle w:val="Heading2"/>
      </w:pPr>
      <w:r>
        <w:t>3. Умови на об’єкті</w:t>
      </w:r>
    </w:p>
    <w:p>
      <w:pPr>
        <w:pStyle w:val="ListBullet"/>
      </w:pPr>
      <w:r>
        <w:t>Температура навколишнього середовища: мінімальна [-10] °C, максимальна [+40] °C. Висота: до [1000] м над рівнем моря. Відносна вологість: до [90] %.</w:t>
      </w:r>
    </w:p>
    <w:p>
      <w:pPr>
        <w:pStyle w:val="ListBullet"/>
      </w:pPr>
      <w:r>
        <w:t>Встановлення: [просто неба, у всепогодному кожусі / у приміщенні, у генераторному приміщенні].</w:t>
      </w:r>
    </w:p>
    <w:p>
      <w:pPr>
        <w:pStyle w:val="ListBullet"/>
      </w:pPr>
      <w:r>
        <w:t>Учасник повинен вказати доступну потужність за наведених вище умов на об’єкті (зниження потужності згідно з ISO 8528-1 та ISO 3046-1).</w:t>
      </w:r>
    </w:p>
    <w:p>
      <w:pPr>
        <w:pStyle w:val="Heading2"/>
      </w:pPr>
      <w:r>
        <w:t>4. Потужність і характеристики</w:t>
      </w:r>
    </w:p>
    <w:p>
      <w:pPr>
        <w:pStyle w:val="ListBullet"/>
      </w:pPr>
      <w:r>
        <w:t>Потужність: не менше [___] кВА основної потужності (PRP) згідно з ISO 8528-1, при коефіцієнті потужності 0,8, після зниження з урахуванням умов на об’єкті. Також слід вказати аварійну резервну потужність (ESP).</w:t>
      </w:r>
    </w:p>
    <w:p>
      <w:pPr>
        <w:pStyle w:val="ListBullet"/>
      </w:pPr>
      <w:r>
        <w:t>Напруга та частота: [400/230] В, 3 фази + нейтраль, [50] Гц, [1500] об/хв.</w:t>
      </w:r>
    </w:p>
    <w:p>
      <w:pPr>
        <w:pStyle w:val="ListBullet"/>
      </w:pPr>
      <w:r>
        <w:t>Клас виконання: ISO 8528-5, клас G3.</w:t>
      </w:r>
    </w:p>
    <w:p>
      <w:pPr>
        <w:pStyle w:val="ListBullet"/>
      </w:pPr>
      <w:r>
        <w:t>Прийняття навантаження: установка повинна приймати раптове навантаження [50] % номінальної потужності за один крок і залишатися в межах класу G3. Учасник повинен вказати допустимі ступені навантаження (ISO 8528-5).</w:t>
      </w:r>
    </w:p>
    <w:p>
      <w:pPr>
        <w:pStyle w:val="Heading2"/>
      </w:pPr>
      <w:r>
        <w:t>5. Двигун</w:t>
      </w:r>
    </w:p>
    <w:p>
      <w:pPr>
        <w:pStyle w:val="ListBullet"/>
      </w:pPr>
      <w:r>
        <w:t>Чотиритактний дизельний двигун з водяним охолодженням, з електронним або механічним регулятором частоти обертання, здатним забезпечити клас G3.</w:t>
      </w:r>
    </w:p>
    <w:p>
      <w:pPr>
        <w:pStyle w:val="ListBullet"/>
      </w:pPr>
      <w:r>
        <w:t>Викиди двигуна відповідно до місцевих норм: [вказати ступінь або клас, якщо є].</w:t>
      </w:r>
    </w:p>
    <w:p>
      <w:pPr>
        <w:pStyle w:val="ListBullet"/>
      </w:pPr>
      <w:r>
        <w:t>Електричний пуск від 24 В або 12 В постійного струму з акумуляторами та автоматичним зарядним пристроєм; підігрівач охолоджувальної рідини з термостатом для надійного пуску при мінімальній температурі навколишнього середовища.</w:t>
      </w:r>
    </w:p>
    <w:p>
      <w:pPr>
        <w:pStyle w:val="ListBullet"/>
      </w:pPr>
      <w:r>
        <w:t>Захисти: низький тиск оливи, висока температура охолоджувальної рідини, перевищення частоти обертання, невдалий пуск, низький рівень охолоджувальної рідини, несправність заряджання акумулятора.</w:t>
      </w:r>
    </w:p>
    <w:p>
      <w:pPr>
        <w:pStyle w:val="Heading2"/>
      </w:pPr>
      <w:r>
        <w:t>6. Генератор</w:t>
      </w:r>
    </w:p>
    <w:p>
      <w:pPr>
        <w:pStyle w:val="ListBullet"/>
      </w:pPr>
      <w:r>
        <w:t>Безщітковий, із самозбудженням або збудженням від генератора на постійних магнітах (PMG), з автоматичним регулятором напруги (AVR).</w:t>
      </w:r>
    </w:p>
    <w:p>
      <w:pPr>
        <w:pStyle w:val="ListBullet"/>
      </w:pPr>
      <w:r>
        <w:t>Клас ізоляції H, перевищення температури не більше класу [H/F]; ступінь захисту не нижче IP23.</w:t>
      </w:r>
    </w:p>
    <w:p>
      <w:pPr>
        <w:pStyle w:val="ListBullet"/>
      </w:pPr>
      <w:r>
        <w:t>Відхилення напруги в усталеному режимі в межах класу G3 за ISO 8528-5.</w:t>
      </w:r>
    </w:p>
    <w:p>
      <w:pPr>
        <w:pStyle w:val="Heading2"/>
      </w:pPr>
      <w:r>
        <w:t>7. Корпус і шум</w:t>
      </w:r>
    </w:p>
    <w:p>
      <w:pPr>
        <w:pStyle w:val="ListBullet"/>
      </w:pPr>
      <w:r>
        <w:t>Шумозахисний всепогодний сталевий кожух із дверима, що замикаються, вбудованим глушником житлового типу та антикорозійним захистом, придатним для умов об’єкта (порошкове фарбування або рівноцінне).</w:t>
      </w:r>
    </w:p>
    <w:p>
      <w:pPr>
        <w:pStyle w:val="ListBullet"/>
      </w:pPr>
      <w:r>
        <w:t>Рівень звукового тиску: не більше [70] дБ(A) на відстані 7 м у вільному полі при навантаженні [75] %, виміряний за ISO 3744 або ISO 8528-10. Учасник повинен надати метод вимірювання та значення для запропонованої моделі.</w:t>
      </w:r>
    </w:p>
    <w:p>
      <w:pPr>
        <w:pStyle w:val="ListBullet"/>
      </w:pPr>
      <w:r>
        <w:t>Точки підйому та рама, придатні для транспортування краном і навантажувачем.</w:t>
      </w:r>
    </w:p>
    <w:p>
      <w:pPr>
        <w:pStyle w:val="Heading2"/>
      </w:pPr>
      <w:r>
        <w:t>8. Паливна система</w:t>
      </w:r>
    </w:p>
    <w:p>
      <w:pPr>
        <w:pStyle w:val="ListBullet"/>
      </w:pPr>
      <w:r>
        <w:t>Паливний бак у рамі (двостінний або з піддоном) щонайменше на [24] годин роботи при [75] % номінальної потужності; учасник повинен вказати об’єм бака та витрату палива при навантаженні 50, 75 і 100 %.</w:t>
      </w:r>
    </w:p>
    <w:p>
      <w:pPr>
        <w:pStyle w:val="ListBullet"/>
      </w:pPr>
      <w:r>
        <w:t>Датчик рівня палива із сигналізацією низького рівня, сепаратор палива та води і зливний кран. Підключення зовнішнього бака: [потрібне / не потрібне].</w:t>
      </w:r>
    </w:p>
    <w:p>
      <w:pPr>
        <w:pStyle w:val="Heading2"/>
      </w:pPr>
      <w:r>
        <w:t>9. Панель керування, AMF і АВР</w:t>
      </w:r>
    </w:p>
    <w:p>
      <w:pPr>
        <w:pStyle w:val="ListBullet"/>
      </w:pPr>
      <w:r>
        <w:t>Мікропроцесорний контролер із функцією AMF: автоматичний пуск у разі зникнення мережі, переведення навантаження на установку, зворотне переведення після відновлення мережі та робота на охолодження.</w:t>
      </w:r>
    </w:p>
    <w:p>
      <w:pPr>
        <w:pStyle w:val="ListBullet"/>
      </w:pPr>
      <w:r>
        <w:t>Навантаження переводиться на установку протягом [15] секунд після зникнення мережі.</w:t>
      </w:r>
    </w:p>
    <w:p>
      <w:pPr>
        <w:pStyle w:val="ListBullet"/>
      </w:pPr>
      <w:r>
        <w:t>АВР: [4]-полюсний, розрахований щонайменше на струм повного навантаження установки, з механічним і електричним блокуванням, згідно з IEC 60947-6-1.</w:t>
      </w:r>
    </w:p>
    <w:p>
      <w:pPr>
        <w:pStyle w:val="ListBullet"/>
      </w:pPr>
      <w:r>
        <w:t>Зв’язок: Modbus RTU (RS485) та/або Modbus TCP (Ethernet) для системи диспетчеризації будівлі; дистанційний моніторинг стану, аварійних сигналів і вимірювань; журнал подій щонайменше на [100] подій.</w:t>
      </w:r>
    </w:p>
    <w:p>
      <w:pPr>
        <w:pStyle w:val="ListBullet"/>
      </w:pPr>
      <w:r>
        <w:t>Відображення напруги, струму, частоти, кВт, кВА, коефіцієнта потужності, мотогодин, тиску оливи, температури охолоджувальної рідини та напруги акумулятора.</w:t>
      </w:r>
    </w:p>
    <w:p>
      <w:pPr>
        <w:pStyle w:val="Heading2"/>
      </w:pPr>
      <w:r>
        <w:t>10. Документація</w:t>
      </w:r>
    </w:p>
    <w:p>
      <w:pPr>
        <w:pStyle w:val="ListBullet"/>
      </w:pPr>
      <w:r>
        <w:t>Технічний паспорт запропонованої моделі з потужностями згідно з ISO 8528-1.</w:t>
      </w:r>
    </w:p>
    <w:p>
      <w:pPr>
        <w:pStyle w:val="ListBullet"/>
      </w:pPr>
      <w:r>
        <w:t>Електричні схеми, габаритне креслення, інструкція з експлуатації та технічного обслуговування мовою [мова] і перелік рекомендованих запасних частин.</w:t>
      </w:r>
    </w:p>
    <w:p>
      <w:pPr>
        <w:pStyle w:val="ListBullet"/>
      </w:pPr>
      <w:r>
        <w:t>Протокол заводського випробування (розділ 11), декларація відповідності виробника та сертифікат походження.</w:t>
      </w:r>
    </w:p>
    <w:p>
      <w:pPr>
        <w:pStyle w:val="Heading2"/>
      </w:pPr>
      <w:r>
        <w:t>11. Заводське випробування</w:t>
      </w:r>
    </w:p>
    <w:p>
      <w:pPr>
        <w:pStyle w:val="ListBullet"/>
      </w:pPr>
      <w:r>
        <w:t>Кожна установка повинна пройти випробування під навантаженням на заводі перед відвантаженням: при 25, 50, 75 і 100 % номінальної потужності, а також при [110] % протягом [1] години, якщо номінал допускає перевантаження.</w:t>
      </w:r>
    </w:p>
    <w:p>
      <w:pPr>
        <w:pStyle w:val="ListBullet"/>
      </w:pPr>
      <w:r>
        <w:t>Перевірка захистів, функцій AMF і АВР; реєстрація напруги, частоти та перехідних характеристик.</w:t>
      </w:r>
    </w:p>
    <w:p>
      <w:pPr>
        <w:pStyle w:val="ListBullet"/>
      </w:pPr>
      <w:r>
        <w:t>Замовник може бути присутнім на випробуванні або призначити інспектора: [так / ні].</w:t>
      </w:r>
    </w:p>
    <w:p>
      <w:pPr>
        <w:pStyle w:val="Heading2"/>
      </w:pPr>
      <w:r>
        <w:t>12. Гарантія, запасні частини та навчання</w:t>
      </w:r>
    </w:p>
    <w:p>
      <w:pPr>
        <w:pStyle w:val="ListBullet"/>
      </w:pPr>
      <w:r>
        <w:t>Гарантія: [___] місяців або [___] мотогодин від дати поставки, залежно від того, що настане раніше.</w:t>
      </w:r>
    </w:p>
    <w:p>
      <w:pPr>
        <w:pStyle w:val="ListBullet"/>
      </w:pPr>
      <w:r>
        <w:t>Наявність запасних частин щонайменше протягом [___] років; витратні матеріали на перші [___] мотогодин: [включено / не включено].</w:t>
      </w:r>
    </w:p>
    <w:p>
      <w:pPr>
        <w:pStyle w:val="ListBullet"/>
      </w:pPr>
      <w:r>
        <w:t>Навчання операторів: [___] осіб, [___] годин.</w:t>
      </w:r>
    </w:p>
    <w:p>
      <w:pPr>
        <w:pStyle w:val="Heading2"/>
      </w:pPr>
      <w:r>
        <w:t>Додаткові вимоги для цього об’єкта</w:t>
      </w:r>
    </w:p>
    <w:p>
      <w:pPr>
        <w:pStyle w:val="ListBullet"/>
      </w:pPr>
      <w:r>
        <w:t>Якщо установка живить системи безпеки, застосовуються вимоги ISO 8528-12 та IEC 60364-7-710 (медичні приміщення).</w:t>
      </w:r>
    </w:p>
    <w:p>
      <w:pPr>
        <w:pStyle w:val="ListBullet"/>
      </w:pPr>
      <w:r>
        <w:t>Автономність за паливом і час перемикання слід перевірити за національними нормами для лікарень; застосовується жорсткіше значення.</w:t>
      </w:r>
    </w:p>
    <w:p>
      <w:pPr>
        <w:pStyle w:val="ListBullet"/>
      </w:pPr>
      <w:r>
        <w:t>Щомісячний тестовий запуск під навантаженням із функцією автоматичного тесту в контролері.</w:t>
      </w:r>
    </w:p>
    <w:p>
      <w:pPr>
        <w:pStyle w:val="Heading2"/>
      </w:pPr>
      <w:r>
        <w:t>Таблиця відповідності (заповнює учасник)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Вимога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Потрібно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Запропоновано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Відповідає (так/ні)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Примітки</w:t>
            </w:r>
          </w:p>
        </w:tc>
      </w:tr>
      <w:tr>
        <w:tc>
          <w:tcPr>
            <w:tcW w:type="dxa" w:w="1728"/>
          </w:tcPr>
          <w:p>
            <w:r>
              <w:t>Потужність, PRP за умов на об’єкті</w:t>
            </w:r>
          </w:p>
        </w:tc>
        <w:tc>
          <w:tcPr>
            <w:tcW w:type="dxa" w:w="1728"/>
          </w:tcPr>
          <w:p>
            <w:r>
              <w:t>[___] кВА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Клас виконання (ISO 8528-5)</w:t>
            </w:r>
          </w:p>
        </w:tc>
        <w:tc>
          <w:tcPr>
            <w:tcW w:type="dxa" w:w="1728"/>
          </w:tcPr>
          <w:p>
            <w:r>
              <w:t>G3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Напруга / частота</w:t>
            </w:r>
          </w:p>
        </w:tc>
        <w:tc>
          <w:tcPr>
            <w:tcW w:type="dxa" w:w="1728"/>
          </w:tcPr>
          <w:p>
            <w:r>
              <w:t>[400/230] В, [50] Гц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Звуковий тиск на відстані 7 м</w:t>
            </w:r>
          </w:p>
        </w:tc>
        <w:tc>
          <w:tcPr>
            <w:tcW w:type="dxa" w:w="1728"/>
          </w:tcPr>
          <w:p>
            <w:r>
              <w:t>≤ [70] дБ(A)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Автономність за паливом при навантаженні 75 %</w:t>
            </w:r>
          </w:p>
        </w:tc>
        <w:tc>
          <w:tcPr>
            <w:tcW w:type="dxa" w:w="1728"/>
          </w:tcPr>
          <w:p>
            <w:r>
              <w:t>≥ [24] год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Час перемикання</w:t>
            </w:r>
          </w:p>
        </w:tc>
        <w:tc>
          <w:tcPr>
            <w:tcW w:type="dxa" w:w="1728"/>
          </w:tcPr>
          <w:p>
            <w:r>
              <w:t>≤ [15] с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Зв’язок контролера</w:t>
            </w:r>
          </w:p>
        </w:tc>
        <w:tc>
          <w:tcPr>
            <w:tcW w:type="dxa" w:w="1728"/>
          </w:tcPr>
          <w:p>
            <w:r>
              <w:t>Modbus RTU / TCP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Протокол заводського випробування під навантаженням</w:t>
            </w:r>
          </w:p>
        </w:tc>
        <w:tc>
          <w:tcPr>
            <w:tcW w:type="dxa" w:w="1728"/>
          </w:tcPr>
          <w:p>
            <w:r>
              <w:t>Так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Джерело зразка: terexdiesel.com. Можна вільно використовувати та редагувати.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Технічне завдання: дизельна генераторна установка – Редагований зразок для проєкту: Лікарня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