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задание: дизельная генераторная установка</w:t>
      </w:r>
    </w:p>
    <w:p>
      <w:r>
        <w:rPr>
          <w:b/>
          <w:color w:val="20214F"/>
        </w:rPr>
        <w:t>Редактируемый образец для проекта: Центр обработки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Это нейтральный образец, опирающийся на стандарты. Значения в [квадратных скобках] являются предложениями, и заказчик или проектировщик должен заполнить или подтвердить их для конкретного проекта.</w:t>
            </w:r>
          </w:p>
          <w:p>
            <w:r>
              <w:rPr>
                <w:i/>
              </w:rPr>
              <w:t>Ни один производитель, марка или наименование продукта не указаны. Приемлема любая генераторная установка, которая соответствует приведенным ниже требованиям и подтверждает это документами, перечисленными в разделе 10.</w:t>
            </w:r>
          </w:p>
          <w:p>
            <w:r>
              <w:rPr>
                <w:i/>
              </w:rPr>
              <w:t>Перед выпуском документа удалите этот блок с пояснениями.</w:t>
            </w:r>
          </w:p>
        </w:tc>
      </w:tr>
    </w:tbl>
    <w:p/>
    <w:p>
      <w:pPr>
        <w:pStyle w:val="Heading2"/>
      </w:pPr>
      <w:r>
        <w:t>1. Объем поставки</w:t>
      </w:r>
    </w:p>
    <w:p>
      <w:pPr>
        <w:pStyle w:val="ListBullet"/>
      </w:pPr>
      <w:r>
        <w:t>Поставка [количество] дизельных генераторных установок с автоматическим запуском при пропадании сети (AMF) и автоматическим вводом резерва (АВР) для центра обработки данных по адресу [адрес объекта].</w:t>
      </w:r>
    </w:p>
    <w:p>
      <w:pPr>
        <w:pStyle w:val="ListBullet"/>
      </w:pPr>
      <w:r>
        <w:t>Объем поставки включает генераторную установку, корпус, топливный бак, панель управления, АВР, документацию и заводское испытание, описанное в разделе 11. Монтаж, кабельные и строительные работы на объекте: [включены / не включены].</w:t>
      </w:r>
    </w:p>
    <w:p>
      <w:pPr>
        <w:pStyle w:val="Heading2"/>
      </w:pPr>
      <w:r>
        <w:t>2. Стандарты</w:t>
      </w:r>
    </w:p>
    <w:p>
      <w:pPr>
        <w:pStyle w:val="ListBullet"/>
      </w:pPr>
      <w:r>
        <w:t>Серия ISO 8528 (генераторные установки переменного тока с приводом от поршневых двигателей внутреннего сгорания), в частности части 1, 3, 4, 5, 6 и 10; ISO 8528-12, если установка питает системы безопасности.</w:t>
      </w:r>
    </w:p>
    <w:p>
      <w:pPr>
        <w:pStyle w:val="ListBullet"/>
      </w:pPr>
      <w:r>
        <w:t>ISO 3046-1 (поршневые двигатели: декларирование мощности).</w:t>
      </w:r>
    </w:p>
    <w:p>
      <w:pPr>
        <w:pStyle w:val="ListBullet"/>
      </w:pPr>
      <w:r>
        <w:t>IEC 60034-1 (вращающиеся электрические машины) для генератора.</w:t>
      </w:r>
    </w:p>
    <w:p>
      <w:pPr>
        <w:pStyle w:val="ListBullet"/>
      </w:pPr>
      <w:r>
        <w:t>IEC 61439-1/-2 для низковольтных комплектных устройств распределения и управления и IEC 60947-6-1 для коммутационного аппарата АВР.</w:t>
      </w:r>
    </w:p>
    <w:p>
      <w:pPr>
        <w:pStyle w:val="ListBullet"/>
      </w:pPr>
      <w:r>
        <w:t>Шум измеряется по ISO 3744 или ISO 8528-10.</w:t>
      </w:r>
    </w:p>
    <w:p>
      <w:pPr>
        <w:pStyle w:val="ListBullet"/>
      </w:pPr>
      <w:r>
        <w:t>Местные электротехнические, противопожарные, экологические нормы и нормы по выбросам, действующие на объекте: [перечень].</w:t>
      </w:r>
    </w:p>
    <w:p>
      <w:pPr>
        <w:pStyle w:val="Heading2"/>
      </w:pPr>
      <w:r>
        <w:t>3. Условия на объекте</w:t>
      </w:r>
    </w:p>
    <w:p>
      <w:pPr>
        <w:pStyle w:val="ListBullet"/>
      </w:pPr>
      <w:r>
        <w:t>Температура окружающей среды: минимальная [-10] °C, максимальная [+40] °C. Высота: до [1000] м над уровнем моря. Относительная влажность: до [90] %.</w:t>
      </w:r>
    </w:p>
    <w:p>
      <w:pPr>
        <w:pStyle w:val="ListBullet"/>
      </w:pPr>
      <w:r>
        <w:t>Установка: [на открытом воздухе, во всепогодном кожухе / в помещении, в генераторном помещении].</w:t>
      </w:r>
    </w:p>
    <w:p>
      <w:pPr>
        <w:pStyle w:val="ListBullet"/>
      </w:pPr>
      <w:r>
        <w:t>Участник должен указать доступную мощность при приведенных выше условиях на объекте (снижение мощности согласно ISO 8528-1 и ISO 3046-1).</w:t>
      </w:r>
    </w:p>
    <w:p>
      <w:pPr>
        <w:pStyle w:val="Heading2"/>
      </w:pPr>
      <w:r>
        <w:t>4. Мощность и характеристики</w:t>
      </w:r>
    </w:p>
    <w:p>
      <w:pPr>
        <w:pStyle w:val="ListBullet"/>
      </w:pPr>
      <w:r>
        <w:t>Мощность: не менее [___] кВА мощности для центров обработки данных (DCP) или основной мощности (PRP) согласно ISO 8528-1, при коэффициенте мощности 0,8, после снижения с учетом условий на объекте. Также должна быть указана аварийная резервная мощность (ESP).</w:t>
      </w:r>
    </w:p>
    <w:p>
      <w:pPr>
        <w:pStyle w:val="ListBullet"/>
      </w:pPr>
      <w:r>
        <w:t>Напряжение и частота: [400/230] В, 3 фазы + нейтраль, [50] Гц, [1500] об/мин.</w:t>
      </w:r>
    </w:p>
    <w:p>
      <w:pPr>
        <w:pStyle w:val="ListBullet"/>
      </w:pPr>
      <w:r>
        <w:t>Класс исполнения: ISO 8528-5, класс G3.</w:t>
      </w:r>
    </w:p>
    <w:p>
      <w:pPr>
        <w:pStyle w:val="ListBullet"/>
      </w:pPr>
      <w:r>
        <w:t>Прием нагрузки: установка должна принимать внезапный наброс нагрузки [50] % номинальной мощности за одну ступень и оставаться в пределах класса G3. Участник должен указать допустимые ступени нагрузки (ISO 8528-5).</w:t>
      </w:r>
    </w:p>
    <w:p>
      <w:pPr>
        <w:pStyle w:val="Heading2"/>
      </w:pPr>
      <w:r>
        <w:t>5. Двигатель</w:t>
      </w:r>
    </w:p>
    <w:p>
      <w:pPr>
        <w:pStyle w:val="ListBullet"/>
      </w:pPr>
      <w:r>
        <w:t>Четырехтактный дизельный двигатель с водяным охлаждением, с электронным или механическим регулятором частоты вращения, способным обеспечить класс G3.</w:t>
      </w:r>
    </w:p>
    <w:p>
      <w:pPr>
        <w:pStyle w:val="ListBullet"/>
      </w:pPr>
      <w:r>
        <w:t>Выбросы двигателя в соответствии с местными нормами: [указать ступень или класс, если есть].</w:t>
      </w:r>
    </w:p>
    <w:p>
      <w:pPr>
        <w:pStyle w:val="ListBullet"/>
      </w:pPr>
      <w:r>
        <w:t>Электрический пуск от 24 В или 12 В постоянного тока с аккумуляторами и автоматическим зарядным устройством; подогреватель охлаждающей жидкости с термостатом для надежного пуска при минимальной температуре окружающей среды.</w:t>
      </w:r>
    </w:p>
    <w:p>
      <w:pPr>
        <w:pStyle w:val="ListBullet"/>
      </w:pPr>
      <w:r>
        <w:t>Защиты: низкое давление масла, высокая температура охлаждающей жидкости, превышение частоты вращения, неудачный пуск, низкий уровень охлаждающей жидкости, неисправность заряда аккумулятора.</w:t>
      </w:r>
    </w:p>
    <w:p>
      <w:pPr>
        <w:pStyle w:val="Heading2"/>
      </w:pPr>
      <w:r>
        <w:t>6. Генератор</w:t>
      </w:r>
    </w:p>
    <w:p>
      <w:pPr>
        <w:pStyle w:val="ListBullet"/>
      </w:pPr>
      <w:r>
        <w:t>Бесщеточный, с самовозбуждением или возбуждением от генератора на постоянных магнитах (PMG), с автоматическим регулятором напряжения (AVR).</w:t>
      </w:r>
    </w:p>
    <w:p>
      <w:pPr>
        <w:pStyle w:val="ListBullet"/>
      </w:pPr>
      <w:r>
        <w:t>Класс изоляции H, превышение температуры не более класса [H/F]; степень защиты не ниже IP23.</w:t>
      </w:r>
    </w:p>
    <w:p>
      <w:pPr>
        <w:pStyle w:val="ListBullet"/>
      </w:pPr>
      <w:r>
        <w:t>Отклонение напряжения в установившемся режиме в пределах класса G3 по ISO 8528-5.</w:t>
      </w:r>
    </w:p>
    <w:p>
      <w:pPr>
        <w:pStyle w:val="Heading2"/>
      </w:pPr>
      <w:r>
        <w:t>7. Корпус и шум</w:t>
      </w:r>
    </w:p>
    <w:p>
      <w:pPr>
        <w:pStyle w:val="ListBullet"/>
      </w:pPr>
      <w:r>
        <w:t>Шумозащитный всепогодный стальной кожух с запираемыми дверями, встроенным глушителем жилого (residential) типа и антикоррозионной защитой, подходящей для условий объекта (порошковая окраска или равноценная).</w:t>
      </w:r>
    </w:p>
    <w:p>
      <w:pPr>
        <w:pStyle w:val="ListBullet"/>
      </w:pPr>
      <w:r>
        <w:t>Уровень звукового давления: не более [75] дБ(A) на расстоянии 7 м в свободном поле при нагрузке [75] %, измеренный по ISO 3744 или ISO 8528-10. Участник должен представить метод измерения и значение для предлагаемой модели.</w:t>
      </w:r>
    </w:p>
    <w:p>
      <w:pPr>
        <w:pStyle w:val="ListBullet"/>
      </w:pPr>
      <w:r>
        <w:t>Точки подъема и рама, пригодные для транспортировки краном и погрузчиком.</w:t>
      </w:r>
    </w:p>
    <w:p>
      <w:pPr>
        <w:pStyle w:val="Heading2"/>
      </w:pPr>
      <w:r>
        <w:t>8. Топливная система</w:t>
      </w:r>
    </w:p>
    <w:p>
      <w:pPr>
        <w:pStyle w:val="ListBullet"/>
      </w:pPr>
      <w:r>
        <w:t>Топливный бак в раме (двустенный или с поддоном) не менее чем на [24] часов работы при [75] % номинальной мощности; участник должен указать объем бака и расход топлива при нагрузке 50, 75 и 100 %.</w:t>
      </w:r>
    </w:p>
    <w:p>
      <w:pPr>
        <w:pStyle w:val="ListBullet"/>
      </w:pPr>
      <w:r>
        <w:t>Датчик уровня топлива с сигнализацией низкого уровня, сепаратор топлива и воды и сливной кран. Подключение внешнего бака: [требуется / не требуется].</w:t>
      </w:r>
    </w:p>
    <w:p>
      <w:pPr>
        <w:pStyle w:val="Heading2"/>
      </w:pPr>
      <w:r>
        <w:t>9. Панель управления, AMF и АВР</w:t>
      </w:r>
    </w:p>
    <w:p>
      <w:pPr>
        <w:pStyle w:val="ListBullet"/>
      </w:pPr>
      <w:r>
        <w:t>Микропроцессорный контроллер с функцией AMF: автоматический пуск при пропадании сети, перевод нагрузки на установку, обратный перевод после восстановления сети и работа на охлаждение.</w:t>
      </w:r>
    </w:p>
    <w:p>
      <w:pPr>
        <w:pStyle w:val="ListBullet"/>
      </w:pPr>
      <w:r>
        <w:t>Нагрузка переводится на установку в течение [15] секунд после пропадания сети.</w:t>
      </w:r>
    </w:p>
    <w:p>
      <w:pPr>
        <w:pStyle w:val="ListBullet"/>
      </w:pPr>
      <w:r>
        <w:t>АВР: [4]-полюсный, рассчитанный как минимум на ток полной нагрузки установки, с механической и электрической блокировкой, согласно IEC 60947-6-1.</w:t>
      </w:r>
    </w:p>
    <w:p>
      <w:pPr>
        <w:pStyle w:val="ListBullet"/>
      </w:pPr>
      <w:r>
        <w:t>Связь: Modbus RTU (RS485) и/или Modbus TCP (Ethernet) для системы диспетчеризации здания; дистанционный мониторинг состояния, аварийных сигналов и измерений; журнал событий не менее чем на [100] событий.</w:t>
      </w:r>
    </w:p>
    <w:p>
      <w:pPr>
        <w:pStyle w:val="ListBullet"/>
      </w:pPr>
      <w:r>
        <w:t>Отображение напряжения, тока, частоты, кВт, кВА, коэффициента мощности, моточасов, давления масла, температуры охлаждающей жидкости и напряжения аккумулятора.</w:t>
      </w:r>
    </w:p>
    <w:p>
      <w:pPr>
        <w:pStyle w:val="Heading2"/>
      </w:pPr>
      <w:r>
        <w:t>10. Документация</w:t>
      </w:r>
    </w:p>
    <w:p>
      <w:pPr>
        <w:pStyle w:val="ListBullet"/>
      </w:pPr>
      <w:r>
        <w:t>Технический паспорт предлагаемой модели с мощностями согласно ISO 8528-1.</w:t>
      </w:r>
    </w:p>
    <w:p>
      <w:pPr>
        <w:pStyle w:val="ListBullet"/>
      </w:pPr>
      <w:r>
        <w:t>Электрические схемы, габаритный чертеж, руководство по эксплуатации и техническому обслуживанию на [язык] языке и перечень рекомендуемых запасных частей.</w:t>
      </w:r>
    </w:p>
    <w:p>
      <w:pPr>
        <w:pStyle w:val="ListBullet"/>
      </w:pPr>
      <w:r>
        <w:t>Протокол заводского испытания (раздел 11), декларация соответствия производителя и сертификат происхождения.</w:t>
      </w:r>
    </w:p>
    <w:p>
      <w:pPr>
        <w:pStyle w:val="Heading2"/>
      </w:pPr>
      <w:r>
        <w:t>11. Заводское испытание</w:t>
      </w:r>
    </w:p>
    <w:p>
      <w:pPr>
        <w:pStyle w:val="ListBullet"/>
      </w:pPr>
      <w:r>
        <w:t>Каждая установка должна пройти испытание под нагрузкой на заводе перед отгрузкой: при 25, 50, 75 и 100 % номинальной мощности, а также при [110] % в течение [1] часа, если номинал допускает перегрузку.</w:t>
      </w:r>
    </w:p>
    <w:p>
      <w:pPr>
        <w:pStyle w:val="ListBullet"/>
      </w:pPr>
      <w:r>
        <w:t>Проверка защит, функций AMF и АВР; регистрация напряжения, частоты и переходных характеристик.</w:t>
      </w:r>
    </w:p>
    <w:p>
      <w:pPr>
        <w:pStyle w:val="ListBullet"/>
      </w:pPr>
      <w:r>
        <w:t>Заказчик может присутствовать на испытании или назначить инспектора: [да / нет].</w:t>
      </w:r>
    </w:p>
    <w:p>
      <w:pPr>
        <w:pStyle w:val="Heading2"/>
      </w:pPr>
      <w:r>
        <w:t>12. Гарантия, запасные части и обучение</w:t>
      </w:r>
    </w:p>
    <w:p>
      <w:pPr>
        <w:pStyle w:val="ListBullet"/>
      </w:pPr>
      <w:r>
        <w:t>Гарантия: [___] месяцев или [___] моточасов с даты поставки, в зависимости от того, что наступит раньше.</w:t>
      </w:r>
    </w:p>
    <w:p>
      <w:pPr>
        <w:pStyle w:val="ListBullet"/>
      </w:pPr>
      <w:r>
        <w:t>Наличие запасных частей в течение не менее [___] лет; расходные материалы на первые [___] моточасов: [включены / не включены].</w:t>
      </w:r>
    </w:p>
    <w:p>
      <w:pPr>
        <w:pStyle w:val="ListBullet"/>
      </w:pPr>
      <w:r>
        <w:t>Обучение операторов: [___] человек, [___] часов.</w:t>
      </w:r>
    </w:p>
    <w:p>
      <w:pPr>
        <w:pStyle w:val="Heading2"/>
      </w:pPr>
      <w:r>
        <w:t>Дополнительные требования для этого объекта</w:t>
      </w:r>
    </w:p>
    <w:p>
      <w:pPr>
        <w:pStyle w:val="ListBullet"/>
      </w:pPr>
      <w:r>
        <w:t>Конфигурация: [N+1] генераторных установок в параллельной работе с контроллерами синхронизации и распределением нагрузки; вывод одной установки из работы не должен снижать электроснабжение критической нагрузки.</w:t>
      </w:r>
    </w:p>
    <w:p>
      <w:pPr>
        <w:pStyle w:val="ListBullet"/>
      </w:pPr>
      <w:r>
        <w:t>Ступени нагрузки и последовательность переключения следует согласовать с системой ИБП; участник должен указать поведение установки при ступенях нагрузки.</w:t>
      </w:r>
    </w:p>
    <w:p>
      <w:pPr>
        <w:pStyle w:val="ListBullet"/>
      </w:pPr>
      <w:r>
        <w:t>Мощность: мощность для центров обработки данных (DCP) согласно ISO 8528-1:2018 или основная мощность, если DCP не задекларирована.</w:t>
      </w:r>
    </w:p>
    <w:p>
      <w:pPr>
        <w:pStyle w:val="Heading2"/>
      </w:pPr>
      <w:r>
        <w:t>Таблица соответствия (заполняется участником)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Требование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Требуется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Предложено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Соответствует (да/нет)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Примечания</w:t>
            </w:r>
          </w:p>
        </w:tc>
      </w:tr>
      <w:tr>
        <w:tc>
          <w:tcPr>
            <w:tcW w:type="dxa" w:w="1728"/>
          </w:tcPr>
          <w:p>
            <w:r>
              <w:t>Мощность, DCP / PRP при условиях на объекте</w:t>
            </w:r>
          </w:p>
        </w:tc>
        <w:tc>
          <w:tcPr>
            <w:tcW w:type="dxa" w:w="1728"/>
          </w:tcPr>
          <w:p>
            <w:r>
              <w:t>[___] кВА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Класс исполнения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Напряжение / частота</w:t>
            </w:r>
          </w:p>
        </w:tc>
        <w:tc>
          <w:tcPr>
            <w:tcW w:type="dxa" w:w="1728"/>
          </w:tcPr>
          <w:p>
            <w:r>
              <w:t>[400/230] В, [50] Гц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Звуковое давление на расстоянии 7 м</w:t>
            </w:r>
          </w:p>
        </w:tc>
        <w:tc>
          <w:tcPr>
            <w:tcW w:type="dxa" w:w="1728"/>
          </w:tcPr>
          <w:p>
            <w:r>
              <w:t>≤ [75] дБ(A)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Автономность по топливу при нагрузке 75 %</w:t>
            </w:r>
          </w:p>
        </w:tc>
        <w:tc>
          <w:tcPr>
            <w:tcW w:type="dxa" w:w="1728"/>
          </w:tcPr>
          <w:p>
            <w:r>
              <w:t>≥ [24] ч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Время переключения</w:t>
            </w:r>
          </w:p>
        </w:tc>
        <w:tc>
          <w:tcPr>
            <w:tcW w:type="dxa" w:w="1728"/>
          </w:tcPr>
          <w:p>
            <w:r>
              <w:t>≤ [15] с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Связь контроллера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Протокол заводского испытания под нагрузкой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Источник образца: terexdiesel.com. Можно свободно использовать и редактировать.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задание: дизельная генераторная установка – Редактируемый образец для проекта: Центр обработки данных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