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right"/>
      </w:pPr>
      <w:r>
        <w:rPr>
          <w:rtl w:val="1"/>
        </w:rPr>
        <w:t>المواصفات الفنية: مجموعة توليد ديزل</w:t>
      </w:r>
    </w:p>
    <w:p>
      <w:pPr>
        <w:bidi w:val="1"/>
        <w:jc w:val="right"/>
      </w:pPr>
      <w:r>
        <w:rPr>
          <w:b/>
          <w:color w:val="20214F"/>
          <w:rtl w:val="1"/>
        </w:rPr>
        <w:t>نموذج قابل للتعديل لمشروع مركز بيانات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8640"/>
      </w:tblGrid>
      <w:tr>
        <w:tc>
          <w:tcPr>
            <w:tcW w:type="dxa" w:w="8640"/>
            <w:shd w:val="clear" w:color="auto" w:fill="FFF1E8"/>
          </w:tcPr>
          <w:p>
            <w:pPr>
              <w:bidi w:val="1"/>
              <w:jc w:val="right"/>
            </w:pPr>
            <w:r>
              <w:rPr>
                <w:rtl w:val="1"/>
              </w:rPr>
            </w:r>
            <w:r>
              <w:rPr>
                <w:i/>
                <w:rtl w:val="1"/>
              </w:rPr>
              <w:t>هذا نموذج محايد مبني على المعايير. القيم الواردة بين [أقواس مربعة] مقترحات، ويجب أن يستكملها أو يؤكدها صاحب العمل أو المهندس المصمم وفق المشروع الفعلي.</w:t>
            </w:r>
          </w:p>
          <w:p>
            <w:pPr>
              <w:bidi w:val="1"/>
              <w:jc w:val="right"/>
            </w:pPr>
            <w:r>
              <w:rPr>
                <w:i/>
                <w:rtl w:val="1"/>
              </w:rPr>
              <w:t>لا يُحدَّد أي اسم لمصنّع أو علامة تجارية أو منتج. وتُقبل أي مجموعة توليد تحقق المتطلبات أدناه ويُثبَت ذلك بالمستندات المدرجة في البند 10.</w:t>
            </w:r>
          </w:p>
          <w:p>
            <w:pPr>
              <w:bidi w:val="1"/>
              <w:jc w:val="right"/>
            </w:pPr>
            <w:r>
              <w:rPr>
                <w:i/>
                <w:rtl w:val="1"/>
              </w:rPr>
              <w:t>احذفوا مربع الإرشادات هذا قبل إصدار المستند.</w:t>
            </w:r>
          </w:p>
        </w:tc>
      </w:tr>
    </w:tbl>
    <w:p/>
    <w:p>
      <w:pPr>
        <w:pStyle w:val="Heading2"/>
        <w:bidi w:val="1"/>
        <w:jc w:val="right"/>
      </w:pPr>
      <w:r>
        <w:rPr>
          <w:rtl w:val="1"/>
        </w:rPr>
        <w:t>1. النطاق</w:t>
      </w:r>
    </w:p>
    <w:p>
      <w:pPr>
        <w:pStyle w:val="ListBullet"/>
        <w:bidi w:val="1"/>
        <w:jc w:val="right"/>
      </w:pPr>
      <w:r>
        <w:rPr>
          <w:rtl w:val="1"/>
        </w:rPr>
        <w:t>توريد [العدد] مجموعة (مجموعات) توليد ديزل مع تحكم تلقائي عند انقطاع الشبكة (AMF) ومفتاح تحويل تلقائي (ATS) لصالح مركز البيانات في [عنوان الموقع].</w:t>
      </w:r>
    </w:p>
    <w:p>
      <w:pPr>
        <w:pStyle w:val="ListBullet"/>
        <w:bidi w:val="1"/>
        <w:jc w:val="right"/>
      </w:pPr>
      <w:r>
        <w:rPr>
          <w:rtl w:val="1"/>
        </w:rPr>
        <w:t>يشمل النطاق مجموعة التوليد، والهيكل، وخزان الوقود، ولوحة التحكم، ولوحة ATS، والمستندات، واختبار المصنع الموصوف في البند 11. أما التركيب والتمديدات الكهربائية والأعمال في الموقع فهي [مشمولة / غير مشمولة].</w:t>
      </w:r>
    </w:p>
    <w:p>
      <w:pPr>
        <w:pStyle w:val="Heading2"/>
        <w:bidi w:val="1"/>
        <w:jc w:val="right"/>
      </w:pPr>
      <w:r>
        <w:rPr>
          <w:rtl w:val="1"/>
        </w:rPr>
        <w:t>2. المعايير</w:t>
      </w:r>
    </w:p>
    <w:p>
      <w:pPr>
        <w:pStyle w:val="ListBullet"/>
        <w:bidi w:val="1"/>
        <w:jc w:val="right"/>
      </w:pPr>
      <w:r>
        <w:rPr>
          <w:rtl w:val="1"/>
        </w:rPr>
        <w:t>سلسلة ISO 8528 (مجموعات توليد التيار المتناوب المدارة بمحركات احتراق داخلي ترددية)، ولا سيما الأجزاء 1 و3 و4 و5 و6 و10؛ وISO 8528-12 عندما تغذي المجموعة خدمات السلامة.</w:t>
      </w:r>
    </w:p>
    <w:p>
      <w:pPr>
        <w:pStyle w:val="ListBullet"/>
        <w:bidi w:val="1"/>
        <w:jc w:val="right"/>
      </w:pPr>
      <w:r>
        <w:rPr>
          <w:rtl w:val="1"/>
        </w:rPr>
        <w:t>ISO 3046-1 (المحركات الترددية: إعلان القدرة).</w:t>
      </w:r>
    </w:p>
    <w:p>
      <w:pPr>
        <w:pStyle w:val="ListBullet"/>
        <w:bidi w:val="1"/>
        <w:jc w:val="right"/>
      </w:pPr>
      <w:r>
        <w:rPr>
          <w:rtl w:val="1"/>
        </w:rPr>
        <w:t>IEC 60034-1 (الآلات الكهربائية الدوارة) للألترنيتر.</w:t>
      </w:r>
    </w:p>
    <w:p>
      <w:pPr>
        <w:pStyle w:val="ListBullet"/>
        <w:bidi w:val="1"/>
        <w:jc w:val="right"/>
      </w:pPr>
      <w:r>
        <w:rPr>
          <w:rtl w:val="1"/>
        </w:rPr>
        <w:t>IEC 61439-1/-2 لمجمّعات المفاتيح والمعدات منخفضة الجهد، وIEC 60947-6-1 لمفتاح التحويل.</w:t>
      </w:r>
    </w:p>
    <w:p>
      <w:pPr>
        <w:pStyle w:val="ListBullet"/>
        <w:bidi w:val="1"/>
        <w:jc w:val="right"/>
      </w:pPr>
      <w:r>
        <w:rPr>
          <w:rtl w:val="1"/>
        </w:rPr>
        <w:t>قياس الضوضاء وفق ISO 3744 أو ISO 8528-10.</w:t>
      </w:r>
    </w:p>
    <w:p>
      <w:pPr>
        <w:pStyle w:val="ListBullet"/>
        <w:bidi w:val="1"/>
        <w:jc w:val="right"/>
      </w:pPr>
      <w:r>
        <w:rPr>
          <w:rtl w:val="1"/>
        </w:rPr>
        <w:t>الأنظمة المحلية المطبقة في الموقع في مجالات الكهرباء والحريق والانبعاثات والبيئة: [القائمة].</w:t>
      </w:r>
    </w:p>
    <w:p>
      <w:pPr>
        <w:pStyle w:val="Heading2"/>
        <w:bidi w:val="1"/>
        <w:jc w:val="right"/>
      </w:pPr>
      <w:r>
        <w:rPr>
          <w:rtl w:val="1"/>
        </w:rPr>
        <w:t>3. ظروف الموقع</w:t>
      </w:r>
    </w:p>
    <w:p>
      <w:pPr>
        <w:pStyle w:val="ListBullet"/>
        <w:bidi w:val="1"/>
        <w:jc w:val="right"/>
      </w:pPr>
      <w:r>
        <w:rPr>
          <w:rtl w:val="1"/>
        </w:rPr>
        <w:t>درجة الحرارة المحيطة: الدنيا [-10] °C، والقصوى [+40] °C. الارتفاع: حتى [1000] m فوق مستوى سطح البحر. الرطوبة النسبية: حتى [90] %.</w:t>
      </w:r>
    </w:p>
    <w:p>
      <w:pPr>
        <w:pStyle w:val="ListBullet"/>
        <w:bidi w:val="1"/>
        <w:jc w:val="right"/>
      </w:pPr>
      <w:r>
        <w:rPr>
          <w:rtl w:val="1"/>
        </w:rPr>
        <w:t>التركيب: [في الخارج، داخل كابينة مقاومة للعوامل الجوية / في الداخل، في غرفة مولد].</w:t>
      </w:r>
    </w:p>
    <w:p>
      <w:pPr>
        <w:pStyle w:val="ListBullet"/>
        <w:bidi w:val="1"/>
        <w:jc w:val="right"/>
      </w:pPr>
      <w:r>
        <w:rPr>
          <w:rtl w:val="1"/>
        </w:rPr>
        <w:t>يجب على مقدم العرض بيان القدرة المتاحة في ظروف الموقع المذكورة أعلاه (خفض القدرة وفق ISO 8528-1 وISO 3046-1).</w:t>
      </w:r>
    </w:p>
    <w:p>
      <w:pPr>
        <w:pStyle w:val="Heading2"/>
        <w:bidi w:val="1"/>
        <w:jc w:val="right"/>
      </w:pPr>
      <w:r>
        <w:rPr>
          <w:rtl w:val="1"/>
        </w:rPr>
        <w:t>4. القدرة والأداء</w:t>
      </w:r>
    </w:p>
    <w:p>
      <w:pPr>
        <w:pStyle w:val="ListBullet"/>
        <w:bidi w:val="1"/>
        <w:jc w:val="right"/>
      </w:pPr>
      <w:r>
        <w:rPr>
          <w:rtl w:val="1"/>
        </w:rPr>
        <w:t>القدرة: لا تقل عن [___] kVA قدرة مراكز البيانات (DCP) أو القدرة الرئيسية المقننة (PRP) وفق ISO 8528-1، عند معامل قدرة 0.8، بعد خفض القدرة لظروف الموقع. ويجب أيضًا بيان قدرة الطوارئ الاحتياطية (ESP).</w:t>
      </w:r>
    </w:p>
    <w:p>
      <w:pPr>
        <w:pStyle w:val="ListBullet"/>
        <w:bidi w:val="1"/>
        <w:jc w:val="right"/>
      </w:pPr>
      <w:r>
        <w:rPr>
          <w:rtl w:val="1"/>
        </w:rPr>
        <w:t>الجهد والتردد: [400/230] V، 3 أطوار + محايد، [50] Hz، [1500] rpm.</w:t>
      </w:r>
    </w:p>
    <w:p>
      <w:pPr>
        <w:pStyle w:val="ListBullet"/>
        <w:bidi w:val="1"/>
        <w:jc w:val="right"/>
      </w:pPr>
      <w:r>
        <w:rPr>
          <w:rtl w:val="1"/>
        </w:rPr>
        <w:t>فئة الأداء: الفئة G3 وفق ISO 8528-5.</w:t>
      </w:r>
    </w:p>
    <w:p>
      <w:pPr>
        <w:pStyle w:val="ListBullet"/>
        <w:bidi w:val="1"/>
        <w:jc w:val="right"/>
      </w:pPr>
      <w:r>
        <w:rPr>
          <w:rtl w:val="1"/>
        </w:rPr>
        <w:t>تقبّل الحمل: يجب أن تتقبل المجموعة حملًا مفاجئًا قدره [50] % من القدرة المقننة في خطوة واحدة وأن تبقى ضمن حدود الفئة G3. ويجب على مقدم العرض بيان خطوات الحمل المسموح بها (ISO 8528-5).</w:t>
      </w:r>
    </w:p>
    <w:p>
      <w:pPr>
        <w:pStyle w:val="Heading2"/>
        <w:bidi w:val="1"/>
        <w:jc w:val="right"/>
      </w:pPr>
      <w:r>
        <w:rPr>
          <w:rtl w:val="1"/>
        </w:rPr>
        <w:t>5. المحرك</w:t>
      </w:r>
    </w:p>
    <w:p>
      <w:pPr>
        <w:pStyle w:val="ListBullet"/>
        <w:bidi w:val="1"/>
        <w:jc w:val="right"/>
      </w:pPr>
      <w:r>
        <w:rPr>
          <w:rtl w:val="1"/>
        </w:rPr>
        <w:t>محرك ديزل رباعي الأشواط، مبرد بالماء، بمنظم سرعة إلكتروني أو ميكانيكي قادر على تحقيق الفئة G3.</w:t>
      </w:r>
    </w:p>
    <w:p>
      <w:pPr>
        <w:pStyle w:val="ListBullet"/>
        <w:bidi w:val="1"/>
        <w:jc w:val="right"/>
      </w:pPr>
      <w:r>
        <w:rPr>
          <w:rtl w:val="1"/>
        </w:rPr>
        <w:t>انبعاثات المحرك وفق ما يشترطه النظام المحلي: [اذكروا المرحلة أو الفئة، إن وجدت].</w:t>
      </w:r>
    </w:p>
    <w:p>
      <w:pPr>
        <w:pStyle w:val="ListBullet"/>
        <w:bidi w:val="1"/>
        <w:jc w:val="right"/>
      </w:pPr>
      <w:r>
        <w:rPr>
          <w:rtl w:val="1"/>
        </w:rPr>
        <w:t>بدء تشغيل كهربائي بجهد 24 V أو 12 V DC مع بطاريات وشاحن بطاريات تلقائي؛ وسخان ماء تبريد بترموستات لضمان البدء الموثوق عند أدنى حرارة محيطة.</w:t>
      </w:r>
    </w:p>
    <w:p>
      <w:pPr>
        <w:pStyle w:val="ListBullet"/>
        <w:bidi w:val="1"/>
        <w:jc w:val="right"/>
      </w:pPr>
      <w:r>
        <w:rPr>
          <w:rtl w:val="1"/>
        </w:rPr>
        <w:t>الحمايات: انخفاض ضغط الزيت، وارتفاع حرارة سائل التبريد، وزيادة السرعة، وفشل البدء، وانخفاض مستوى سائل التبريد، وعطل شحن البطارية.</w:t>
      </w:r>
    </w:p>
    <w:p>
      <w:pPr>
        <w:pStyle w:val="Heading2"/>
        <w:bidi w:val="1"/>
        <w:jc w:val="right"/>
      </w:pPr>
      <w:r>
        <w:rPr>
          <w:rtl w:val="1"/>
        </w:rPr>
        <w:t>6. الألترنيتر</w:t>
      </w:r>
    </w:p>
    <w:p>
      <w:pPr>
        <w:pStyle w:val="ListBullet"/>
        <w:bidi w:val="1"/>
        <w:jc w:val="right"/>
      </w:pPr>
      <w:r>
        <w:rPr>
          <w:rtl w:val="1"/>
        </w:rPr>
        <w:t>بدون فرش، ذاتي الإثارة أو بإثارة بمولد مغناطيس دائم (PMG)، مع منظم جهد تلقائي (AVR).</w:t>
      </w:r>
    </w:p>
    <w:p>
      <w:pPr>
        <w:pStyle w:val="ListBullet"/>
        <w:bidi w:val="1"/>
        <w:jc w:val="right"/>
      </w:pPr>
      <w:r>
        <w:rPr>
          <w:rtl w:val="1"/>
        </w:rPr>
        <w:t>فئة العزل H، وارتفاع الحرارة لا يتجاوز الفئة [H/F]؛ ودرجة الحماية IP23 على الأقل.</w:t>
      </w:r>
    </w:p>
    <w:p>
      <w:pPr>
        <w:pStyle w:val="ListBullet"/>
        <w:bidi w:val="1"/>
        <w:jc w:val="right"/>
      </w:pPr>
      <w:r>
        <w:rPr>
          <w:rtl w:val="1"/>
        </w:rPr>
        <w:t>انحراف الجهد في الحالة المستقرة ضمن حد الفئة G3 في ISO 8528-5.</w:t>
      </w:r>
    </w:p>
    <w:p>
      <w:pPr>
        <w:pStyle w:val="Heading2"/>
        <w:bidi w:val="1"/>
        <w:jc w:val="right"/>
      </w:pPr>
      <w:r>
        <w:rPr>
          <w:rtl w:val="1"/>
        </w:rPr>
        <w:t>7. الهيكل والضوضاء</w:t>
      </w:r>
    </w:p>
    <w:p>
      <w:pPr>
        <w:pStyle w:val="ListBullet"/>
        <w:bidi w:val="1"/>
        <w:jc w:val="right"/>
      </w:pPr>
      <w:r>
        <w:rPr>
          <w:rtl w:val="1"/>
        </w:rPr>
        <w:t>كابينة فولاذية عازلة للصوت ومقاومة للعوامل الجوية، بأبواب قابلة للقفل، مع كاتم صوت داخلي من النوع السكني، وحماية من التآكل مناسبة للموقع (طلاء بودرة أو ما يعادله).</w:t>
      </w:r>
    </w:p>
    <w:p>
      <w:pPr>
        <w:pStyle w:val="ListBullet"/>
        <w:bidi w:val="1"/>
        <w:jc w:val="right"/>
      </w:pPr>
      <w:r>
        <w:rPr>
          <w:rtl w:val="1"/>
        </w:rPr>
        <w:t>مستوى ضغط الصوت: لا يزيد على [75] dB(A) على بعد 7 m في مجال حر عند [75] % من الحمل، مقيسًا وفق ISO 3744 أو ISO 8528-10. ويجب على مقدم العرض تقديم طريقة القياس والقيمة للطراز المعروض.</w:t>
      </w:r>
    </w:p>
    <w:p>
      <w:pPr>
        <w:pStyle w:val="ListBullet"/>
        <w:bidi w:val="1"/>
        <w:jc w:val="right"/>
      </w:pPr>
      <w:r>
        <w:rPr>
          <w:rtl w:val="1"/>
        </w:rPr>
        <w:t>نقاط رفع وقاعدة مناسبة للنقل بالرافعة والرافعة الشوكية.</w:t>
      </w:r>
    </w:p>
    <w:p>
      <w:pPr>
        <w:pStyle w:val="Heading2"/>
        <w:bidi w:val="1"/>
        <w:jc w:val="right"/>
      </w:pPr>
      <w:r>
        <w:rPr>
          <w:rtl w:val="1"/>
        </w:rPr>
        <w:t>8. نظام الوقود</w:t>
      </w:r>
    </w:p>
    <w:p>
      <w:pPr>
        <w:pStyle w:val="ListBullet"/>
        <w:bidi w:val="1"/>
        <w:jc w:val="right"/>
      </w:pPr>
      <w:r>
        <w:rPr>
          <w:rtl w:val="1"/>
        </w:rPr>
        <w:t>خزان وقود في القاعدة (مزدوج الجدار أو بحوض احتواء) يكفي [24] ساعة تشغيل على الأقل عند [75] % من القدرة المقننة؛ ويجب على مقدم العرض بيان سعة الخزان واستهلاك الوقود عند 50 و75 و100 % من الحمل.</w:t>
      </w:r>
    </w:p>
    <w:p>
      <w:pPr>
        <w:pStyle w:val="ListBullet"/>
        <w:bidi w:val="1"/>
        <w:jc w:val="right"/>
      </w:pPr>
      <w:r>
        <w:rPr>
          <w:rtl w:val="1"/>
        </w:rPr>
        <w:t>حساس مستوى الوقود مع إنذار انخفاض المستوى، وفاصل ماء/وقود، وصمام تصريف. وصلة لخزان خارجي: [مطلوبة / غير مطلوبة].</w:t>
      </w:r>
    </w:p>
    <w:p>
      <w:pPr>
        <w:pStyle w:val="Heading2"/>
        <w:bidi w:val="1"/>
        <w:jc w:val="right"/>
      </w:pPr>
      <w:r>
        <w:rPr>
          <w:rtl w:val="1"/>
        </w:rPr>
        <w:t>9. لوحة التحكم وAMF وATS</w:t>
      </w:r>
    </w:p>
    <w:p>
      <w:pPr>
        <w:pStyle w:val="ListBullet"/>
        <w:bidi w:val="1"/>
        <w:jc w:val="right"/>
      </w:pPr>
      <w:r>
        <w:rPr>
          <w:rtl w:val="1"/>
        </w:rPr>
        <w:t>وحدة تحكم بمعالج دقيق مع وظيفة AMF: بدء تلقائي عند انقطاع الشبكة، والتحويل إلى المجموعة، وإعادة التحويل عند عودة الشبكة، وتشغيل للتبريد.</w:t>
      </w:r>
    </w:p>
    <w:p>
      <w:pPr>
        <w:pStyle w:val="ListBullet"/>
        <w:bidi w:val="1"/>
        <w:jc w:val="right"/>
      </w:pPr>
      <w:r>
        <w:rPr>
          <w:rtl w:val="1"/>
        </w:rPr>
        <w:t>تحويل الحمل إلى المجموعة خلال [15] ثانية من انقطاع الشبكة.</w:t>
      </w:r>
    </w:p>
    <w:p>
      <w:pPr>
        <w:pStyle w:val="ListBullet"/>
        <w:bidi w:val="1"/>
        <w:jc w:val="right"/>
      </w:pPr>
      <w:r>
        <w:rPr>
          <w:rtl w:val="1"/>
        </w:rPr>
        <w:t>لوحة ATS: [4] أقطاب، مقننة لتيار الحمل الكامل للمجموعة على الأقل، مع تعشيق ميكانيكي وكهربائي، وفق IEC 60947-6-1.</w:t>
      </w:r>
    </w:p>
    <w:p>
      <w:pPr>
        <w:pStyle w:val="ListBullet"/>
        <w:bidi w:val="1"/>
        <w:jc w:val="right"/>
      </w:pPr>
      <w:r>
        <w:rPr>
          <w:rtl w:val="1"/>
        </w:rPr>
        <w:t>الاتصال: Modbus RTU (RS485) و/أو Modbus TCP (Ethernet) لنظام إدارة المبنى؛ ومراقبة عن بعد للحالة والإنذارات والقياسات؛ وسجل أحداث يتسع لـ [100] حدث على الأقل.</w:t>
      </w:r>
    </w:p>
    <w:p>
      <w:pPr>
        <w:pStyle w:val="ListBullet"/>
        <w:bidi w:val="1"/>
        <w:jc w:val="right"/>
      </w:pPr>
      <w:r>
        <w:rPr>
          <w:rtl w:val="1"/>
        </w:rPr>
        <w:t>عرض الجهد والتيار والتردد وkW وkVA ومعامل القدرة وساعات التشغيل وضغط الزيت وحرارة سائل التبريد وجهد البطارية.</w:t>
      </w:r>
    </w:p>
    <w:p>
      <w:pPr>
        <w:pStyle w:val="Heading2"/>
        <w:bidi w:val="1"/>
        <w:jc w:val="right"/>
      </w:pPr>
      <w:r>
        <w:rPr>
          <w:rtl w:val="1"/>
        </w:rPr>
        <w:t>10. المستندات</w:t>
      </w:r>
    </w:p>
    <w:p>
      <w:pPr>
        <w:pStyle w:val="ListBullet"/>
        <w:bidi w:val="1"/>
        <w:jc w:val="right"/>
      </w:pPr>
      <w:r>
        <w:rPr>
          <w:rtl w:val="1"/>
        </w:rPr>
        <w:t>صحيفة البيانات الفنية للطراز المعروض، مع قيم القدرة وفق ISO 8528-1.</w:t>
      </w:r>
    </w:p>
    <w:p>
      <w:pPr>
        <w:pStyle w:val="ListBullet"/>
        <w:bidi w:val="1"/>
        <w:jc w:val="right"/>
      </w:pPr>
      <w:r>
        <w:rPr>
          <w:rtl w:val="1"/>
        </w:rPr>
        <w:t>المخططات الكهربائية، ورسم الأبعاد، ودليل التشغيل والصيانة باللغة [اللغة]، وقائمة قطع الغيار الموصى بها.</w:t>
      </w:r>
    </w:p>
    <w:p>
      <w:pPr>
        <w:pStyle w:val="ListBullet"/>
        <w:bidi w:val="1"/>
        <w:jc w:val="right"/>
      </w:pPr>
      <w:r>
        <w:rPr>
          <w:rtl w:val="1"/>
        </w:rPr>
        <w:t>تقرير اختبار المصنع (البند 11)، وإعلان المطابقة من الشركة المصنّعة، وشهادة المنشأ.</w:t>
      </w:r>
    </w:p>
    <w:p>
      <w:pPr>
        <w:pStyle w:val="Heading2"/>
        <w:bidi w:val="1"/>
        <w:jc w:val="right"/>
      </w:pPr>
      <w:r>
        <w:rPr>
          <w:rtl w:val="1"/>
        </w:rPr>
        <w:t>11. اختبار المصنع</w:t>
      </w:r>
    </w:p>
    <w:p>
      <w:pPr>
        <w:pStyle w:val="ListBullet"/>
        <w:bidi w:val="1"/>
        <w:jc w:val="right"/>
      </w:pPr>
      <w:r>
        <w:rPr>
          <w:rtl w:val="1"/>
        </w:rPr>
        <w:t>يجب اختبار كل مجموعة تحت الحمل في المصنع قبل الشحن: عند 25 و50 و75 و100 % من القدرة المقننة، وعند [110] % لمدة [1] ساعة إذا كانت القدرة المقننة تسمح بالتحميل الزائد.</w:t>
      </w:r>
    </w:p>
    <w:p>
      <w:pPr>
        <w:pStyle w:val="ListBullet"/>
        <w:bidi w:val="1"/>
        <w:jc w:val="right"/>
      </w:pPr>
      <w:r>
        <w:rPr>
          <w:rtl w:val="1"/>
        </w:rPr>
        <w:t>اختبار الحمايات ووظائف AMF وATS؛ وتسجيل الجهد والتردد والاستجابة العابرة.</w:t>
      </w:r>
    </w:p>
    <w:p>
      <w:pPr>
        <w:pStyle w:val="ListBullet"/>
        <w:bidi w:val="1"/>
        <w:jc w:val="right"/>
      </w:pPr>
      <w:r>
        <w:rPr>
          <w:rtl w:val="1"/>
        </w:rPr>
        <w:t>يجوز لصاحب العمل حضور الاختبار أو تعيين مفتش: [نعم / لا].</w:t>
      </w:r>
    </w:p>
    <w:p>
      <w:pPr>
        <w:pStyle w:val="Heading2"/>
        <w:bidi w:val="1"/>
        <w:jc w:val="right"/>
      </w:pPr>
      <w:r>
        <w:rPr>
          <w:rtl w:val="1"/>
        </w:rPr>
        <w:t>12. الضمان وقطع الغيار والتدريب</w:t>
      </w:r>
    </w:p>
    <w:p>
      <w:pPr>
        <w:pStyle w:val="ListBullet"/>
        <w:bidi w:val="1"/>
        <w:jc w:val="right"/>
      </w:pPr>
      <w:r>
        <w:rPr>
          <w:rtl w:val="1"/>
        </w:rPr>
        <w:t>الضمان: [___] شهرًا أو [___] ساعة تشغيل من تاريخ التسليم، أيهما أسبق.</w:t>
      </w:r>
    </w:p>
    <w:p>
      <w:pPr>
        <w:pStyle w:val="ListBullet"/>
        <w:bidi w:val="1"/>
        <w:jc w:val="right"/>
      </w:pPr>
      <w:r>
        <w:rPr>
          <w:rtl w:val="1"/>
        </w:rPr>
        <w:t>توفر قطع الغيار لمدة [___] سنوات على الأقل؛ والمواد الاستهلاكية لأول [___] ساعة تشغيل: [مشمولة / غير مشمولة].</w:t>
      </w:r>
    </w:p>
    <w:p>
      <w:pPr>
        <w:pStyle w:val="ListBullet"/>
        <w:bidi w:val="1"/>
        <w:jc w:val="right"/>
      </w:pPr>
      <w:r>
        <w:rPr>
          <w:rtl w:val="1"/>
        </w:rPr>
        <w:t>تدريب المشغلين: [___] أشخاص، [___] ساعات.</w:t>
      </w:r>
    </w:p>
    <w:p>
      <w:pPr>
        <w:pStyle w:val="Heading2"/>
        <w:bidi w:val="1"/>
        <w:jc w:val="right"/>
      </w:pPr>
      <w:r>
        <w:rPr>
          <w:rtl w:val="1"/>
        </w:rPr>
        <w:t>متطلبات إضافية لهذه المنشأة</w:t>
      </w:r>
    </w:p>
    <w:p>
      <w:pPr>
        <w:pStyle w:val="ListBullet"/>
        <w:bidi w:val="1"/>
        <w:jc w:val="right"/>
      </w:pPr>
      <w:r>
        <w:rPr>
          <w:rtl w:val="1"/>
        </w:rPr>
        <w:t>التكوين: [N+1] مجموعات توليد بالتوازي مع وحدات تحكم للتزامن وتقاسم الحمل؛ ويجب ألا يؤدي خروج مجموعة واحدة من الخدمة إلى نقص التغذية للحمل الحرج.</w:t>
      </w:r>
    </w:p>
    <w:p>
      <w:pPr>
        <w:pStyle w:val="ListBullet"/>
        <w:bidi w:val="1"/>
        <w:jc w:val="right"/>
      </w:pPr>
      <w:r>
        <w:rPr>
          <w:rtl w:val="1"/>
        </w:rPr>
        <w:t>يجب تنسيق خطوات الحمل وتسلسل التحويل مع نظام UPS؛ ويجب على مقدم العرض بيان سلوك المجموعة عند خطوات الحمل.</w:t>
      </w:r>
    </w:p>
    <w:p>
      <w:pPr>
        <w:pStyle w:val="ListBullet"/>
        <w:bidi w:val="1"/>
        <w:jc w:val="right"/>
      </w:pPr>
      <w:r>
        <w:rPr>
          <w:rtl w:val="1"/>
        </w:rPr>
        <w:t>القدرة: قدرة مراكز البيانات (DCP) وفق ISO 8528-1:2018، أو القدرة الرئيسية المقننة إذا لم تُعلَن قيمة DCP.</w:t>
      </w:r>
    </w:p>
    <w:p>
      <w:pPr>
        <w:pStyle w:val="Heading2"/>
        <w:bidi w:val="1"/>
        <w:jc w:val="right"/>
      </w:pPr>
      <w:r>
        <w:rPr>
          <w:rtl w:val="1"/>
        </w:rPr>
        <w:t>جدول المطابقة (يملؤه مقدم العرض)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val="clear" w:color="auto" w:fill="DFE3E8"/>
          </w:tcPr>
          <w:p>
            <w:pPr>
              <w:bidi w:val="1"/>
              <w:jc w:val="right"/>
            </w:pPr>
            <w:r>
              <w:rPr>
                <w:rtl w:val="1"/>
              </w:rPr>
            </w:r>
            <w:r>
              <w:rPr>
                <w:b/>
                <w:rtl w:val="1"/>
              </w:rPr>
              <w:t>المتطلب</w:t>
            </w:r>
          </w:p>
        </w:tc>
        <w:tc>
          <w:tcPr>
            <w:tcW w:type="dxa" w:w="1728"/>
            <w:shd w:val="clear" w:color="auto" w:fill="DFE3E8"/>
          </w:tcPr>
          <w:p>
            <w:pPr>
              <w:bidi w:val="1"/>
              <w:jc w:val="right"/>
            </w:pPr>
            <w:r>
              <w:rPr>
                <w:rtl w:val="1"/>
              </w:rPr>
            </w:r>
            <w:r>
              <w:rPr>
                <w:b/>
                <w:rtl w:val="1"/>
              </w:rPr>
              <w:t>المطلوب</w:t>
            </w:r>
          </w:p>
        </w:tc>
        <w:tc>
          <w:tcPr>
            <w:tcW w:type="dxa" w:w="1728"/>
            <w:shd w:val="clear" w:color="auto" w:fill="DFE3E8"/>
          </w:tcPr>
          <w:p>
            <w:pPr>
              <w:bidi w:val="1"/>
              <w:jc w:val="right"/>
            </w:pPr>
            <w:r>
              <w:rPr>
                <w:rtl w:val="1"/>
              </w:rPr>
            </w:r>
            <w:r>
              <w:rPr>
                <w:b/>
                <w:rtl w:val="1"/>
              </w:rPr>
              <w:t>المعروض</w:t>
            </w:r>
          </w:p>
        </w:tc>
        <w:tc>
          <w:tcPr>
            <w:tcW w:type="dxa" w:w="1728"/>
            <w:shd w:val="clear" w:color="auto" w:fill="DFE3E8"/>
          </w:tcPr>
          <w:p>
            <w:pPr>
              <w:bidi w:val="1"/>
              <w:jc w:val="right"/>
            </w:pPr>
            <w:r>
              <w:rPr>
                <w:rtl w:val="1"/>
              </w:rPr>
            </w:r>
            <w:r>
              <w:rPr>
                <w:b/>
                <w:rtl w:val="1"/>
              </w:rPr>
              <w:t>مطابق (نعم/لا)</w:t>
            </w:r>
          </w:p>
        </w:tc>
        <w:tc>
          <w:tcPr>
            <w:tcW w:type="dxa" w:w="1728"/>
            <w:shd w:val="clear" w:color="auto" w:fill="DFE3E8"/>
          </w:tcPr>
          <w:p>
            <w:pPr>
              <w:bidi w:val="1"/>
              <w:jc w:val="right"/>
            </w:pPr>
            <w:r>
              <w:rPr>
                <w:rtl w:val="1"/>
              </w:rPr>
            </w:r>
            <w:r>
              <w:rPr>
                <w:b/>
                <w:rtl w:val="1"/>
              </w:rPr>
              <w:t>ملاحظات</w:t>
            </w:r>
          </w:p>
        </w:tc>
      </w:tr>
      <w:tr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  <w:t>القدرة، DCP / PRP في ظروف الموقع</w:t>
            </w:r>
          </w:p>
        </w:tc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  <w:t>[___] kVA</w:t>
            </w:r>
          </w:p>
        </w:tc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</w:tr>
      <w:tr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  <w:t>فئة الأداء (ISO 8528-5)</w:t>
            </w:r>
          </w:p>
        </w:tc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  <w:t>G3</w:t>
            </w:r>
          </w:p>
        </w:tc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</w:tr>
      <w:tr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  <w:t>الجهد / التردد</w:t>
            </w:r>
          </w:p>
        </w:tc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  <w:t>[400/230] V، [50] Hz</w:t>
            </w:r>
          </w:p>
        </w:tc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</w:tr>
      <w:tr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  <w:t>ضغط الصوت على بعد 7 m</w:t>
            </w:r>
          </w:p>
        </w:tc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  <w:t>≤ [75] dB(A)</w:t>
            </w:r>
          </w:p>
        </w:tc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</w:tr>
      <w:tr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  <w:t>استقلالية الوقود عند 75 % من الحمل</w:t>
            </w:r>
          </w:p>
        </w:tc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  <w:t>≥ [24] h</w:t>
            </w:r>
          </w:p>
        </w:tc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</w:tr>
      <w:tr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  <w:t>زمن التحويل</w:t>
            </w:r>
          </w:p>
        </w:tc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  <w:t>≤ [15] s</w:t>
            </w:r>
          </w:p>
        </w:tc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</w:tr>
      <w:tr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  <w:t>اتصال وحدة التحكم</w:t>
            </w:r>
          </w:p>
        </w:tc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  <w:t>Modbus RTU / TCP</w:t>
            </w:r>
          </w:p>
        </w:tc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</w:tr>
      <w:tr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  <w:t>تقرير اختبار الحمل في المصنع</w:t>
            </w:r>
          </w:p>
        </w:tc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  <w:t>نعم</w:t>
            </w:r>
          </w:p>
        </w:tc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</w:tr>
    </w:tbl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right"/>
    </w:pPr>
    <w:r>
      <w:rPr>
        <w:sz w:val="16"/>
        <w:rtl w:val="1"/>
      </w:rPr>
      <w:t>مصدر النموذج: terexdiesel.com. مجاني للاستخدام والتعديل.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المواصفات الفنية: مجموعة توليد ديزل – نموذج قابل للتعديل لمشروع مركز بيانات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ar</dc:language>
</cp:coreProperties>
</file>